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1428949"/>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1428949"/>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10 March 2026 at 04:05 PM by Blanche Denmead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31 March 2026 at 08:40 AM by Blanche Denmead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10 March 2026 at 04:05 PM by Blanche Denmead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31 March 2026 at 08:40 AM by Blanche Denmead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Newcomb Primary School (5444)</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33"/>
        </w:numPr>
      </w:pPr>
      <w:r>
        <w:t>School Profile</w:t>
      </w:r>
    </w:p>
    <w:p>
      <w:pPr>
        <w:numPr>
          <w:ilvl w:val="1"/>
          <w:numId w:val="34"/>
        </w:numPr>
      </w:pPr>
      <w:r>
        <w:t>student enrolment information</w:t>
      </w:r>
    </w:p>
    <w:p>
      <w:pPr>
        <w:numPr>
          <w:ilvl w:val="1"/>
          <w:numId w:val="34"/>
        </w:numPr>
      </w:pPr>
      <w:r>
        <w:t>the school’s</w:t>
      </w:r>
      <w:r>
        <w:t xml:space="preserve"> </w:t>
      </w:r>
      <w:r>
        <w:t>‘Student Family Occupation and Education’</w:t>
      </w:r>
      <w:r>
        <w:t xml:space="preserve"> </w:t>
      </w:r>
      <w:r>
        <w:t>category</w:t>
      </w:r>
    </w:p>
    <w:p>
      <w:pPr>
        <w:numPr>
          <w:ilvl w:val="1"/>
          <w:numId w:val="34"/>
        </w:numPr>
      </w:pPr>
      <w:r>
        <w:t>responses to the General Satisfaction area of the Parent/Caregiver/Guardian Opinion Survey</w:t>
      </w:r>
    </w:p>
    <w:p>
      <w:pPr>
        <w:numPr>
          <w:ilvl w:val="1"/>
          <w:numId w:val="34"/>
        </w:numPr>
      </w:pPr>
      <w:r>
        <w:t>school staff responses to the School Climate area of the School Staff Survey</w:t>
      </w:r>
    </w:p>
    <w:p>
      <w:pPr>
        <w:numPr>
          <w:ilvl w:val="0"/>
          <w:numId w:val="33"/>
        </w:numPr>
      </w:pPr>
      <w:r>
        <w:t>Learning</w:t>
      </w:r>
    </w:p>
    <w:p>
      <w:pPr>
        <w:numPr>
          <w:ilvl w:val="1"/>
          <w:numId w:val="35"/>
        </w:numPr>
      </w:pPr>
      <w:r>
        <w:t>English and Mathematics for Teacher Judgements against the curriculum</w:t>
      </w:r>
    </w:p>
    <w:p>
      <w:pPr>
        <w:numPr>
          <w:ilvl w:val="1"/>
          <w:numId w:val="35"/>
        </w:numPr>
      </w:pPr>
      <w:r>
        <w:t>Reading and Numeracy proficiency levels for National Literacy and Numeracy tests (NAPLAN)</w:t>
      </w:r>
    </w:p>
    <w:p>
      <w:pPr>
        <w:numPr>
          <w:ilvl w:val="1"/>
          <w:numId w:val="35"/>
        </w:numPr>
      </w:pPr>
      <w:r>
        <w:t>Reading and Numeracy relative growth for National Literacy and Numeracy tests (NAPLAN)</w:t>
      </w:r>
    </w:p>
    <w:p>
      <w:pPr>
        <w:numPr>
          <w:ilvl w:val="0"/>
          <w:numId w:val="33"/>
        </w:numPr>
      </w:pPr>
      <w:r>
        <w:t>Wellbeing</w:t>
      </w:r>
    </w:p>
    <w:p>
      <w:pPr>
        <w:numPr>
          <w:ilvl w:val="1"/>
          <w:numId w:val="36"/>
        </w:numPr>
      </w:pPr>
      <w:r>
        <w:t>student responses to the Sense of Connectedness area in the Student Attitudes to School Survey</w:t>
      </w:r>
    </w:p>
    <w:p>
      <w:pPr>
        <w:numPr>
          <w:ilvl w:val="1"/>
          <w:numId w:val="36"/>
        </w:numPr>
      </w:pPr>
      <w:r>
        <w:t>student responses to the Management of Bullying area in the Student Attitudes to School Survey</w:t>
      </w:r>
    </w:p>
    <w:p>
      <w:pPr>
        <w:numPr>
          <w:ilvl w:val="0"/>
          <w:numId w:val="33"/>
        </w:numPr>
      </w:pPr>
      <w:r>
        <w:t>Engagement</w:t>
      </w:r>
    </w:p>
    <w:p>
      <w:pPr>
        <w:numPr>
          <w:ilvl w:val="1"/>
          <w:numId w:val="37"/>
        </w:numPr>
      </w:pPr>
      <w:r>
        <w:t>average absence days per student</w:t>
      </w:r>
    </w:p>
    <w:p>
      <w:pPr>
        <w:numPr>
          <w:ilvl w:val="1"/>
          <w:numId w:val="37"/>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In 2025 we finished the year with an enrolment of 140 students.  We have a team of 32 staff with 8 classrooms, 3 specialists and 3 leadership, 2 admin and 16 ES staff.  </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u w:val="single"/>
              </w:rPr>
              <w:t xml:space="preserve">Motto: Strive for Knowledge  </w:t>
            </w:r>
            <w:r w:rsidRPr="00A56AED">
              <w:rPr>
                <w:rStyle w:val="DefaultParagraphFont"/>
                <w:rFonts w:ascii="Arial" w:eastAsia="Arial" w:hAnsi="Arial" w:cs="Arial"/>
                <w:b w:val="0"/>
                <w:color w:val="auto"/>
                <w:sz w:val="22"/>
              </w:rPr>
              <w:t>At Newcomb Primary School, our commitment is clear: to provide a learning environment where every student and staff member is empowered to reach their full potential.  Guided by our motto ‘Strive for Knowledge,’ we cultivate a culture of high expectations, strong relationships and academic excellence.</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u w:val="single"/>
              </w:rPr>
              <w:t xml:space="preserve">Our Vision: Excellence in every classroom  </w:t>
            </w:r>
            <w:r w:rsidRPr="00A56AED">
              <w:rPr>
                <w:rStyle w:val="DefaultParagraphFont"/>
                <w:rFonts w:ascii="Arial" w:eastAsia="Arial" w:hAnsi="Arial" w:cs="Arial"/>
                <w:b w:val="0"/>
                <w:color w:val="auto"/>
                <w:sz w:val="22"/>
              </w:rPr>
              <w:t>We believe that every child deserves access to exceptional teaching every day.  Our vision ‘Excellence in Every Classroom’ drives all that we do.  We are focused on building high-performing learners and high-performing teachers through clear, consistent instructional practice and a shared commitment to growth.</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u w:val="single"/>
              </w:rPr>
              <w:t>Our Priorities:</w:t>
            </w:r>
          </w:p>
          <w:p w:rsidR="00A56AED" w:rsidRPr="00A56AED" w:rsidP="00A56AED">
            <w:pPr>
              <w:numPr>
                <w:ilvl w:val="0"/>
                <w:numId w:val="24"/>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High Impact Teaching: </w:t>
            </w:r>
            <w:r w:rsidRPr="00A56AED">
              <w:rPr>
                <w:rStyle w:val="DefaultParagraphFont"/>
                <w:rFonts w:ascii="Arial" w:eastAsia="Arial" w:hAnsi="Arial" w:cs="Arial"/>
                <w:b w:val="0"/>
                <w:color w:val="auto"/>
                <w:sz w:val="22"/>
              </w:rPr>
              <w:t>Every classroom is guided by evidence-based, explicit instruction, responsive to student needs.</w:t>
            </w:r>
          </w:p>
          <w:p w:rsidR="00A56AED" w:rsidRPr="00A56AED" w:rsidP="00A56AED">
            <w:pPr>
              <w:numPr>
                <w:ilvl w:val="0"/>
                <w:numId w:val="24"/>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Equity Through Support: </w:t>
            </w:r>
            <w:r w:rsidRPr="00A56AED">
              <w:rPr>
                <w:rStyle w:val="DefaultParagraphFont"/>
                <w:rFonts w:ascii="Arial" w:eastAsia="Arial" w:hAnsi="Arial" w:cs="Arial"/>
                <w:b w:val="0"/>
                <w:color w:val="auto"/>
                <w:sz w:val="22"/>
              </w:rPr>
              <w:t>All students are supported through a structured and proactive Multi-Tiered System of Support (MTSS.)</w:t>
            </w:r>
          </w:p>
          <w:p w:rsidR="00A56AED" w:rsidRPr="00A56AED" w:rsidP="00A56AED">
            <w:pPr>
              <w:numPr>
                <w:ilvl w:val="0"/>
                <w:numId w:val="24"/>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Teacher Development: </w:t>
            </w:r>
            <w:r w:rsidRPr="00A56AED">
              <w:rPr>
                <w:rStyle w:val="DefaultParagraphFont"/>
                <w:rFonts w:ascii="Arial" w:eastAsia="Arial" w:hAnsi="Arial" w:cs="Arial"/>
                <w:b w:val="0"/>
                <w:color w:val="auto"/>
                <w:sz w:val="22"/>
              </w:rPr>
              <w:t>Instructional coaching and high-end professional learning build staff expertise and effectiveness.</w:t>
            </w:r>
          </w:p>
          <w:p w:rsidR="00A56AED" w:rsidRPr="00A56AED" w:rsidP="00A56AED">
            <w:pPr>
              <w:numPr>
                <w:ilvl w:val="0"/>
                <w:numId w:val="24"/>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Student Achievement and Wellbeing: </w:t>
            </w:r>
            <w:r w:rsidRPr="00A56AED">
              <w:rPr>
                <w:rStyle w:val="DefaultParagraphFont"/>
                <w:rFonts w:ascii="Arial" w:eastAsia="Arial" w:hAnsi="Arial" w:cs="Arial"/>
                <w:b w:val="0"/>
                <w:color w:val="auto"/>
                <w:sz w:val="22"/>
              </w:rPr>
              <w:t>We aim for every student to be challenged, supported and connected to their learning and their school.</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u w:val="single"/>
              </w:rPr>
              <w:t xml:space="preserve">Our Values: </w:t>
            </w:r>
            <w:r w:rsidRPr="00A56AED">
              <w:rPr>
                <w:rStyle w:val="DefaultParagraphFont"/>
                <w:rFonts w:ascii="Arial" w:eastAsia="Arial" w:hAnsi="Arial" w:cs="Arial"/>
                <w:b w:val="0"/>
                <w:color w:val="auto"/>
                <w:sz w:val="22"/>
              </w:rPr>
              <w:t>Our school values shape the way we teach, learn, and interact:</w:t>
            </w:r>
          </w:p>
          <w:p w:rsidR="00A56AED" w:rsidRPr="00A56AED" w:rsidP="00A56AED">
            <w:pPr>
              <w:numPr>
                <w:ilvl w:val="0"/>
                <w:numId w:val="25"/>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Respect ~ we treat ourselves, others and our environment with care and consideration.</w:t>
            </w:r>
          </w:p>
          <w:p w:rsidR="00A56AED" w:rsidRPr="00A56AED" w:rsidP="00A56AED">
            <w:pPr>
              <w:numPr>
                <w:ilvl w:val="0"/>
                <w:numId w:val="25"/>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Responsibility ~ we take ownership of our learning, actions and contributions to our school community.</w:t>
            </w:r>
          </w:p>
          <w:p w:rsidR="00A56AED" w:rsidRPr="00A56AED" w:rsidP="00A56AED">
            <w:pPr>
              <w:numPr>
                <w:ilvl w:val="0"/>
                <w:numId w:val="25"/>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Resilience ~ we embrace challenges, persist through setbacks, and strive to grow.</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u w:val="single"/>
              </w:rPr>
              <w:t>Our Approach to Teaching and Learning:</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i/>
                <w:iCs/>
                <w:color w:val="auto"/>
                <w:sz w:val="22"/>
              </w:rPr>
              <w:t>Multi-Tiered System of Support (MTSS)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We implement a whole-school MTSS framework to ensure every student receives the right level of support – academically, socially and emotionally.  This includes:</w:t>
            </w:r>
          </w:p>
          <w:p w:rsidR="00A56AED" w:rsidRPr="00A56AED" w:rsidP="00A56AED">
            <w:pPr>
              <w:numPr>
                <w:ilvl w:val="0"/>
                <w:numId w:val="26"/>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Tier 1 – high quality, differentiated classroom instruction for all students</w:t>
            </w:r>
          </w:p>
          <w:p w:rsidR="00A56AED" w:rsidRPr="00A56AED" w:rsidP="00A56AED">
            <w:pPr>
              <w:numPr>
                <w:ilvl w:val="0"/>
                <w:numId w:val="26"/>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Tier 2 – targeted small-group interventions for students needing additional support</w:t>
            </w:r>
          </w:p>
          <w:p w:rsidR="00A56AED" w:rsidRPr="00A56AED" w:rsidP="00A56AED">
            <w:pPr>
              <w:numPr>
                <w:ilvl w:val="0"/>
                <w:numId w:val="26"/>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Tier 3 – intensive, individualised support for students with significant learning and wellbeing needs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Through early identification, progress monitoring, and data-informed decision making, we ensure equity and opportunity for every learner.</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i/>
                <w:iCs/>
                <w:color w:val="auto"/>
                <w:sz w:val="22"/>
              </w:rPr>
              <w:t>Explicit and Responsive Teaching</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Our teachers deliver instruction that is clear, structured, and goal-oriented. Responsive teaching ensures that no learner is left behind and that progress is both visible and celebrated.  Lessons include:</w:t>
            </w:r>
          </w:p>
          <w:p w:rsidR="00A56AED" w:rsidRPr="00A56AED" w:rsidP="00A56AED">
            <w:pPr>
              <w:numPr>
                <w:ilvl w:val="0"/>
                <w:numId w:val="27"/>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Clear learning intentions and success criteria</w:t>
            </w:r>
          </w:p>
          <w:p w:rsidR="00A56AED" w:rsidRPr="00A56AED" w:rsidP="00A56AED">
            <w:pPr>
              <w:numPr>
                <w:ilvl w:val="0"/>
                <w:numId w:val="27"/>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Daily reviews in literacy and numeracy to support consolidation</w:t>
            </w:r>
          </w:p>
          <w:p w:rsidR="00A56AED" w:rsidRPr="00A56AED" w:rsidP="00A56AED">
            <w:pPr>
              <w:numPr>
                <w:ilvl w:val="0"/>
                <w:numId w:val="27"/>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Explicit modelling and guided practice</w:t>
            </w:r>
          </w:p>
          <w:p w:rsidR="00A56AED" w:rsidRPr="00A56AED" w:rsidP="00A56AED">
            <w:pPr>
              <w:numPr>
                <w:ilvl w:val="0"/>
                <w:numId w:val="27"/>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Frequent checks for understanding</w:t>
            </w:r>
          </w:p>
          <w:p w:rsidR="00A56AED" w:rsidRPr="00A56AED" w:rsidP="00A56AED">
            <w:pPr>
              <w:numPr>
                <w:ilvl w:val="0"/>
                <w:numId w:val="27"/>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Ongoing feedback and adjustments to meet student needs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Instructional Coaching</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We are committed to continuous improvement in teaching. This professional learning approach ensures that great teaching practices are shared, refined, and sustained across the school.  Our instructional coaching model supports teachers through:</w:t>
            </w:r>
          </w:p>
          <w:p w:rsidR="00A56AED" w:rsidRPr="00A56AED" w:rsidP="00A56AED">
            <w:pPr>
              <w:numPr>
                <w:ilvl w:val="0"/>
                <w:numId w:val="28"/>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Collaborative goal-setting</w:t>
            </w:r>
          </w:p>
          <w:p w:rsidR="00A56AED" w:rsidRPr="00A56AED" w:rsidP="00A56AED">
            <w:pPr>
              <w:numPr>
                <w:ilvl w:val="0"/>
                <w:numId w:val="28"/>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Focused classroom observations</w:t>
            </w:r>
          </w:p>
          <w:p w:rsidR="00A56AED" w:rsidRPr="00A56AED" w:rsidP="00A56AED">
            <w:pPr>
              <w:numPr>
                <w:ilvl w:val="0"/>
                <w:numId w:val="28"/>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Targeted feedback and reflection</w:t>
            </w:r>
          </w:p>
          <w:p w:rsidR="00A56AED" w:rsidRPr="00A56AED" w:rsidP="00A56AED">
            <w:pPr>
              <w:numPr>
                <w:ilvl w:val="0"/>
                <w:numId w:val="28"/>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Ongoing support to embed high impact strategies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bCs/>
                <w:color w:val="auto"/>
                <w:sz w:val="22"/>
              </w:rPr>
              <w:t>Our Culture</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Newcomb Primary School is a safe, inclusive, and supportive learning environment. We are a learning community where all students are known, all staff are learners, and every learner matters.  We are proud to foster a school culture where:</w:t>
            </w:r>
          </w:p>
          <w:p w:rsidR="00A56AED" w:rsidRPr="00A56AED" w:rsidP="00A56AED">
            <w:pPr>
              <w:numPr>
                <w:ilvl w:val="0"/>
                <w:numId w:val="29"/>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Inclusion is a core principle ~ Every student feels a sense of belonging and is valued for who they are.</w:t>
            </w:r>
          </w:p>
          <w:p w:rsidR="00A56AED" w:rsidRPr="00A56AED" w:rsidP="00A56AED">
            <w:pPr>
              <w:numPr>
                <w:ilvl w:val="0"/>
                <w:numId w:val="29"/>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Calm and orderly learning environments enable every student to focus, feel safe, and thrive.</w:t>
            </w:r>
          </w:p>
          <w:p w:rsidR="00A56AED" w:rsidRPr="00A56AED" w:rsidP="00A56AED">
            <w:pPr>
              <w:numPr>
                <w:ilvl w:val="0"/>
                <w:numId w:val="29"/>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Our school values of Respect, Responsibility and Resilience guide how we interact and learn together.</w:t>
            </w:r>
          </w:p>
          <w:p w:rsidR="00A56AED" w:rsidRPr="00A56AED" w:rsidP="00A56AED">
            <w:pPr>
              <w:numPr>
                <w:ilvl w:val="0"/>
                <w:numId w:val="29"/>
              </w:numPr>
              <w:ind w:left="720" w:hanging="201"/>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Partnerships with families are nurtured to strengthen learning and wellbeing outcomes.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At Newcomb Primary School, we are united in our mission to </w:t>
            </w:r>
            <w:r w:rsidRPr="00A56AED">
              <w:rPr>
                <w:rStyle w:val="DefaultParagraphFont"/>
                <w:rFonts w:ascii="Arial" w:eastAsia="Arial" w:hAnsi="Arial" w:cs="Arial"/>
                <w:b/>
                <w:bCs/>
                <w:color w:val="auto"/>
                <w:sz w:val="22"/>
              </w:rPr>
              <w:t>strive for knowledge</w:t>
            </w:r>
            <w:r w:rsidRPr="00A56AED">
              <w:rPr>
                <w:rStyle w:val="DefaultParagraphFont"/>
                <w:rFonts w:ascii="Arial" w:eastAsia="Arial" w:hAnsi="Arial" w:cs="Arial"/>
                <w:b w:val="0"/>
                <w:color w:val="auto"/>
                <w:sz w:val="22"/>
              </w:rPr>
              <w:t xml:space="preserve"> and pursue excellence. Through high-impact teaching, targeted support, and a culture of inclusion, we are preparing our students not only to succeed at school, but to thrive in life.</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we continued to teach using the Victorian Curriculum, with our planning reflecting the updates to Numeracy 2.0.  Our timetable continued to prioritise literacy and numeracy across the school with instructional coaching continuing for all staff with a focus on various elements of the instructional model and/or specific teaching practices.  The work over the past four years to establish consistent teaching and learning routines and positive classroom management strategies is evident in both planning and classroom observations.  Establishment of our own scope and sequence documentation and updated assessment schedule provide scaffolding for teachers in their planning so their focus can be on adjustments and effective execution in the classroom.  Consistency and efficiency in Tier 1 instruction were a priority in 2025, particularly with the introduction of three new classroom teachers.  Leadership and specialist staff supported the RTI model with specific tier 2 and 3 supports based on our current data.</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consistency of our evidence based instructional models and tiered supports are now showing positive impact on our long term data. In 2025 we had 70% of students at or above expected age standards which is an improvement in our data.  We had 66% of year 5 students achieve Strong or Exceeding in Reading for NAPLAN which shows the impact of our Literacy program.  We also had 76% (reading) and 91% (numeracy) of students showing high or medium relative growth which was above the state in both areas.  In 2025 instructional coaching provided support for our newest staff members and PLCs continued to build strength and focus with the improvement process and focus of the work becoming more refined.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wellbeing was a significant focus in 2025 with a number of strategies being implemented and improved.  Our whole school social and emotional curriculum continued to develop with the inclusion of The Resilience Project, SWPBS and RRRR as well researched programs to support teaching and learning.   Wellbeing data (including SAEBERS, Compass Pulse data and chronicles) was utilised by both the School Improvement Team and the SWPBS team to make decisions around tier 2 and Tier 3 supports.  Various events and occasions throughout the year were celebrated to highlight our inclusive culture and to provide opportunities for various students to shine.  An Inclusion Learning Specialist continued to support the development of IEPs and BSPs and facilitated SSG and DIP meetings for many students across the year.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Term 4 we welcomed a new Mental Health and Wellbeing leader with a refined role.  Additional programs such as the DASH program and a stand alone puberty/sexual education program supported the expansion of social and emotional learning across the school.  In our Attitudes to school survey our focus on sense of connectedness has had a positive impact with our four year average being on par with the state (77%).  We have also seen an improvement in the management of bullying with our four year average being better than the state (78%.)</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Attendance continued to be a focus in 2025 with all students in Prep to Year 2 attending on average more than 87% of school days for the year.  The process for following up attendance was refined and well documented to ensure all supports were in place for those families who required it.  Support was provided to families in regard to food (Pass the Snacks, toasties, fresh fruit), uniform (second hand or lost property), modified timetables and modified programs to make sure attendance was a priority.  Navigator and Barwon Bridge were involved when required to provide more support in complex situations.   Messaging through the school newsletter and class dojo emphasised the importance of consistent attendance at school.</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Parent overall satisfaction was higher than both state and similar school standards with 87.5% positive responses in 2025.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Our school council and parents and friends continued to be very active and supportive across the school with new avenues created for parents to get involved and to strengthen our communication processes.  </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We have a wide range of additional programs that ran across the school in 2025:</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Smith Family Reading Volunteers</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Ed Connect Learning Mentors</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Story Dogs</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Just Brass</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Bluebird Foundation - Nature and Singing Links programs</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Meli - Sunshine Circles and Playgroup</w:t>
            </w:r>
          </w:p>
          <w:p w:rsidR="00476100" w:rsidRPr="00BB7B33" w:rsidP="00476100">
            <w:pPr>
              <w:numPr>
                <w:ilvl w:val="0"/>
                <w:numId w:val="30"/>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NORTH Choir</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number of annual and new events were also held across the year:</w:t>
            </w:r>
          </w:p>
          <w:p w:rsidR="00476100" w:rsidRPr="00BB7B33" w:rsidP="00476100">
            <w:pPr>
              <w:numPr>
                <w:ilvl w:val="0"/>
                <w:numId w:val="31"/>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Community Day, Colour Run, Christmas Concert, NPS Day</w:t>
            </w:r>
          </w:p>
          <w:p w:rsidR="00476100" w:rsidRPr="00BB7B33" w:rsidP="00476100">
            <w:pPr>
              <w:numPr>
                <w:ilvl w:val="0"/>
                <w:numId w:val="31"/>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Open mornings, Student Led Conferences, Meet &amp; Greets, SSG Meetings</w:t>
            </w:r>
          </w:p>
          <w:p w:rsidR="00476100" w:rsidRPr="00BB7B33" w:rsidP="00476100">
            <w:pPr>
              <w:numPr>
                <w:ilvl w:val="0"/>
                <w:numId w:val="31"/>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Cross Country, Athletics, Swimming, Interschool sports</w:t>
            </w:r>
          </w:p>
          <w:p w:rsidR="00476100" w:rsidRPr="00BB7B33" w:rsidP="00476100">
            <w:pPr>
              <w:numPr>
                <w:ilvl w:val="0"/>
                <w:numId w:val="31"/>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Fortnightly Assemblies</w:t>
            </w:r>
          </w:p>
          <w:p w:rsidR="00476100" w:rsidRPr="00BB7B33" w:rsidP="00476100">
            <w:pPr>
              <w:numPr>
                <w:ilvl w:val="0"/>
                <w:numId w:val="31"/>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JSC Led events - Footy Day, Disco, Halloween Dress Up</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We also celebrated a number of occasions:</w:t>
            </w:r>
          </w:p>
          <w:p w:rsidR="00476100" w:rsidRPr="00BB7B33" w:rsidP="00476100">
            <w:pPr>
              <w:numPr>
                <w:ilvl w:val="0"/>
                <w:numId w:val="32"/>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Harmony Day</w:t>
            </w:r>
          </w:p>
          <w:p w:rsidR="00476100" w:rsidRPr="00BB7B33" w:rsidP="00476100">
            <w:pPr>
              <w:numPr>
                <w:ilvl w:val="0"/>
                <w:numId w:val="32"/>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Mother's Day &amp; Father's Day</w:t>
            </w:r>
          </w:p>
          <w:p w:rsidR="00476100" w:rsidRPr="00BB7B33" w:rsidP="00476100">
            <w:pPr>
              <w:numPr>
                <w:ilvl w:val="0"/>
                <w:numId w:val="32"/>
              </w:numPr>
              <w:ind w:left="720" w:hanging="201"/>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Reconciliation Week &amp; NAIDOC week</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Newcomb Primary School continues to be in a positive financial position due to careful management of funds and the support of equity funding. Equity allows us essential wellbeing support, professional learning, resources, intervention, instructional leadership, and for Education Support Staff to fulfil a range of roles. In 2025 we invested some funds into new literacy class sets, iPads, and the grade 5/6 DASH program.</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We were successful in gaining grants and donations towards: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Sports equipment and programs: Sporting Schools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Geelong East Men's Shed- Hands on Learning</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Junior Landcare grant- Bush Garden</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Accessible buildings program grant - Hearing support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Small schools targeted maintenance risk reduction grant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Relocatable furniture and equipment grant - New portable grant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Safe tree grant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Each year the allocation of funds is a carefully considered process which considers the context of the year: student cohorts, achievement data, responsiveness to student wellbeing and learning needs, and to staff professional learning needs, and responsiveness to DET priorities.</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"https://www.newcombps.vic.edu.au/"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https://www.newcombps.vic.edu.au/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138 students were enrolled at this school in 2025, 70 female and 68 male.</w:t>
      </w:r>
      <w:r>
        <w:t xml:space="preserve"> </w:t>
      </w:r>
      <w:r>
        <w:t>16% had English as an additional language and 5%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High</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4514563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48.6%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322713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Prep - 6 %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71.2%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Prep - 6 %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70.8%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50.0%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51.2%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54.8%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57.5%</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52.8%</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64.8%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74.6%</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43.8%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41.9%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53.2%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54.5%</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35.7%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40.4%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54.2%</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68.1%</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to 5 %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76.9%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67.2%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to 5 %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bl>
    <w:p>
      <w:r>
        <w:br w:type="page"/>
      </w:r>
    </w:p>
    <w:p>
      <w:pPr>
        <w:pStyle w:val="Heading21"/>
      </w:pPr>
      <w:bookmarkEnd w:id="17"/>
      <w:bookmarkEnd w:id="14"/>
      <w:bookmarkStart w:id="18" w:name="wellbeing"/>
      <w:r>
        <w:t>WELLBEING</w:t>
      </w:r>
    </w:p>
    <w:p>
      <w:pPr>
        <w:pStyle w:val="Heading31"/>
      </w:pPr>
      <w:bookmarkStart w:id="19"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67.2%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77.3%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77.3%</w:t>
            </w:r>
          </w:p>
        </w:tc>
      </w:tr>
    </w:tbl>
    <w:p>
      <w:pPr>
        <w:pStyle w:val="Heading31"/>
      </w:pPr>
      <w:bookmarkEnd w:id="19"/>
      <w:bookmarkStart w:id="20"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66.7%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74.8%</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r>
    </w:tbl>
    <w:p>
      <w:r>
        <w:br w:type="page"/>
      </w:r>
    </w:p>
    <w:p>
      <w:pPr>
        <w:pStyle w:val="Heading21"/>
      </w:pPr>
      <w:bookmarkEnd w:id="20"/>
      <w:bookmarkEnd w:id="18"/>
      <w:bookmarkStart w:id="21" w:name="engagement"/>
      <w:r>
        <w:t>ENGAGEMENT</w:t>
      </w:r>
    </w:p>
    <w:p>
      <w:pPr>
        <w:pStyle w:val="Heading31"/>
      </w:pPr>
      <w:bookmarkStart w:id="22"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 - 6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25.9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26.0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21.7</w:t>
            </w:r>
          </w:p>
        </w:tc>
      </w:tr>
    </w:tbl>
    <w:p>
      <w:pPr>
        <w:pStyle w:val="Heading31"/>
      </w:pPr>
      <w:bookmarkEnd w:id="22"/>
      <w:bookmarkStart w:id="23"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87.9%</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83.2%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85.3%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82.7%</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84.9%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3"/>
      <w:bookmarkEnd w:id="21"/>
      <w:bookmarkEnd w:id="8"/>
      <w:bookmarkStart w:id="24" w:name="financial-performance-and-position"/>
      <w:r>
        <w:t>FINANCIAL PERFORMANCE AND POSITION</w:t>
      </w:r>
    </w:p>
    <w:p>
      <w:pPr>
        <w:pStyle w:val="Heading21"/>
      </w:pPr>
      <w:bookmarkStart w:id="25" w:name="X783dfaa01abb5b9bede6e86f0b21a1e5c51f7c7"/>
      <w:r>
        <w:t>FINANCIAL PERFORMANCE - OPERATING STATEMENT SUMMARY FOR THE YEAR ENDING 31 DECEMBER 2025</w:t>
      </w:r>
    </w:p>
    <w:p>
      <w:r>
        <w:t>Financial figures are as of 18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$2,761,801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$440,548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$3,050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$4,144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$20,635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$42,094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$3,272,272</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$210,690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$210,690</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$2,434,901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$12,588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$32,863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$3,626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$46,450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$9,889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$38,980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$66,467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$111,195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$135,705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$95,650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$19,362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$15,622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$3,023,298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$248,973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$0</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5"/>
      <w:bookmarkStart w:id="26"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$65,699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$28,862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$94,561</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$98,066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$165,203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$268,969</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6"/>
      <w:bookmarkEnd w:id="24"/>
    </w:p>
    <w:sectPr>
      <w:footerReference w:type="default" r:id="rId47"/>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Newcomb Primary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hybridMultilevel"/>
    <w:tmpl w:val="64B36AF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4B36AFA"/>
    <w:multiLevelType w:val="hybridMultilevel"/>
    <w:tmpl w:val="64B36A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4B36AFB"/>
    <w:multiLevelType w:val="hybridMultilevel"/>
    <w:tmpl w:val="64B36AF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4B36AFC"/>
    <w:multiLevelType w:val="hybridMultilevel"/>
    <w:tmpl w:val="64B36A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4B36AFD"/>
    <w:multiLevelType w:val="hybridMultilevel"/>
    <w:tmpl w:val="64B36A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4B36AFE"/>
    <w:multiLevelType w:val="hybridMultilevel"/>
    <w:tmpl w:val="64B36AF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4B36AFF"/>
    <w:multiLevelType w:val="hybridMultilevel"/>
    <w:tmpl w:val="64B36A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4B36B00"/>
    <w:multiLevelType w:val="hybridMultilevel"/>
    <w:tmpl w:val="64B36B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4B36B01"/>
    <w:multiLevelType w:val="hybridMultilevel"/>
    <w:tmpl w:val="64B36B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64B36B02"/>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0"/>
  </w:num>
  <w:num w:numId="35">
    <w:abstractNumId w:val="30"/>
  </w:num>
  <w:num w:numId="36">
    <w:abstractNumId w:val="3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footer" Target="footer4.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